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0" w:rsidRDefault="00F25CA0" w:rsidP="00F25CA0">
      <w:pPr>
        <w:pStyle w:val="Akapitzlist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2C7433">
        <w:rPr>
          <w:b/>
          <w:sz w:val="32"/>
          <w:szCs w:val="32"/>
        </w:rPr>
        <w:t>4.18.</w:t>
      </w:r>
      <w:r w:rsidR="00C32722">
        <w:rPr>
          <w:b/>
          <w:sz w:val="32"/>
          <w:szCs w:val="32"/>
        </w:rPr>
        <w:t>W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C87E74">
      <w:pPr>
        <w:pStyle w:val="Akapitzlist"/>
        <w:ind w:left="0"/>
        <w:rPr>
          <w:b/>
          <w:sz w:val="32"/>
          <w:szCs w:val="32"/>
        </w:rPr>
      </w:pPr>
    </w:p>
    <w:p w:rsidR="00C36F09" w:rsidRPr="00C36F09" w:rsidRDefault="00C36F09" w:rsidP="00C36F09">
      <w:pPr>
        <w:pStyle w:val="Akapitzlist"/>
        <w:numPr>
          <w:ilvl w:val="0"/>
          <w:numId w:val="27"/>
        </w:numPr>
        <w:rPr>
          <w:sz w:val="26"/>
          <w:szCs w:val="26"/>
        </w:rPr>
      </w:pPr>
      <w:r w:rsidRPr="00C36F09">
        <w:rPr>
          <w:sz w:val="26"/>
          <w:szCs w:val="26"/>
        </w:rPr>
        <w:t>Dodano nowy parametr konfiguracyjny w lokalizacji:</w:t>
      </w:r>
    </w:p>
    <w:p w:rsidR="00C36F09" w:rsidRPr="00C36F09" w:rsidRDefault="00C36F09" w:rsidP="00C36F09">
      <w:pPr>
        <w:pStyle w:val="Akapitzlist"/>
        <w:ind w:left="1428"/>
        <w:rPr>
          <w:i/>
          <w:sz w:val="26"/>
          <w:szCs w:val="26"/>
        </w:rPr>
      </w:pPr>
      <w:r w:rsidRPr="00C36F09">
        <w:rPr>
          <w:i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0555289" wp14:editId="444C37F9">
            <wp:simplePos x="0" y="0"/>
            <wp:positionH relativeFrom="column">
              <wp:posOffset>0</wp:posOffset>
            </wp:positionH>
            <wp:positionV relativeFrom="paragraph">
              <wp:posOffset>434975</wp:posOffset>
            </wp:positionV>
            <wp:extent cx="6119495" cy="4027805"/>
            <wp:effectExtent l="0" t="0" r="0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F09">
        <w:rPr>
          <w:i/>
          <w:sz w:val="26"/>
          <w:szCs w:val="26"/>
        </w:rPr>
        <w:t>Baza-&gt;Konfiguracja-&gt;Systemu-&gt;Konfiguracja raportu stanów</w:t>
      </w:r>
    </w:p>
    <w:p w:rsidR="00C36F09" w:rsidRDefault="00C36F09" w:rsidP="00C36F09">
      <w:pPr>
        <w:pStyle w:val="Standard"/>
        <w:ind w:left="1428"/>
      </w:pPr>
    </w:p>
    <w:p w:rsidR="00C36F09" w:rsidRDefault="00C36F09" w:rsidP="00C36F09">
      <w:pPr>
        <w:pStyle w:val="Standard"/>
        <w:ind w:left="1428"/>
      </w:pPr>
    </w:p>
    <w:p w:rsidR="00C36F09" w:rsidRDefault="00C36F09" w:rsidP="00C36F09">
      <w:pPr>
        <w:pStyle w:val="Standard"/>
        <w:ind w:left="1068"/>
      </w:pPr>
      <w:r>
        <w:rPr>
          <w:rFonts w:asciiTheme="minorHAnsi" w:eastAsiaTheme="minorHAnsi" w:hAnsiTheme="minorHAnsi" w:cstheme="minorBidi"/>
          <w:kern w:val="0"/>
          <w:sz w:val="26"/>
          <w:szCs w:val="26"/>
          <w:lang w:val="pl-PL" w:bidi="ar-SA"/>
        </w:rPr>
        <w:t xml:space="preserve">Pole </w:t>
      </w:r>
      <w:r w:rsidRPr="00C36F09">
        <w:rPr>
          <w:rFonts w:asciiTheme="minorHAnsi" w:eastAsiaTheme="minorHAnsi" w:hAnsiTheme="minorHAnsi" w:cstheme="minorBidi"/>
          <w:kern w:val="0"/>
          <w:sz w:val="26"/>
          <w:szCs w:val="26"/>
          <w:lang w:val="pl-PL" w:bidi="ar-SA"/>
        </w:rPr>
        <w:t>Czy klient aktywny' służy do wyświetlenia statusu aktywności</w:t>
      </w:r>
      <w:r w:rsidR="009544AB">
        <w:rPr>
          <w:rFonts w:asciiTheme="minorHAnsi" w:eastAsiaTheme="minorHAnsi" w:hAnsiTheme="minorHAnsi" w:cstheme="minorBidi"/>
          <w:kern w:val="0"/>
          <w:sz w:val="26"/>
          <w:szCs w:val="26"/>
          <w:lang w:val="pl-PL" w:bidi="ar-SA"/>
        </w:rPr>
        <w:t xml:space="preserve"> firmy</w:t>
      </w:r>
      <w:r w:rsidRPr="00C36F09">
        <w:rPr>
          <w:rFonts w:asciiTheme="minorHAnsi" w:eastAsiaTheme="minorHAnsi" w:hAnsiTheme="minorHAnsi" w:cstheme="minorBidi"/>
          <w:kern w:val="0"/>
          <w:sz w:val="26"/>
          <w:szCs w:val="26"/>
          <w:lang w:val="pl-PL" w:bidi="ar-SA"/>
        </w:rPr>
        <w:t xml:space="preserve"> w raporcie stanu</w:t>
      </w:r>
    </w:p>
    <w:p w:rsidR="00C36F09" w:rsidRDefault="00C36F09" w:rsidP="00C36F09">
      <w:pPr>
        <w:pStyle w:val="Standard"/>
        <w:ind w:left="1428"/>
      </w:pPr>
      <w:r>
        <w:rPr>
          <w:noProof/>
          <w:lang w:val="pl-PL" w:eastAsia="pl-PL" w:bidi="ar-SA"/>
        </w:rPr>
        <w:lastRenderedPageBreak/>
        <w:drawing>
          <wp:anchor distT="0" distB="0" distL="114300" distR="114300" simplePos="0" relativeHeight="251662336" behindDoc="0" locked="0" layoutInCell="1" allowOverlap="1" wp14:anchorId="4C95F502" wp14:editId="2FE51A3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2888639"/>
            <wp:effectExtent l="0" t="0" r="0" b="6961"/>
            <wp:wrapSquare wrapText="bothSides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88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F09" w:rsidRDefault="00C36F09" w:rsidP="00C36F09">
      <w:pPr>
        <w:pStyle w:val="Standard"/>
        <w:ind w:left="1428"/>
      </w:pPr>
    </w:p>
    <w:p w:rsidR="00C36F09" w:rsidRPr="00C36F09" w:rsidRDefault="00C36F09" w:rsidP="00C36F09">
      <w:pPr>
        <w:pStyle w:val="Standard"/>
        <w:ind w:left="1068"/>
        <w:rPr>
          <w:rFonts w:asciiTheme="minorHAnsi" w:eastAsiaTheme="minorHAnsi" w:hAnsiTheme="minorHAnsi" w:cstheme="minorBidi"/>
          <w:kern w:val="0"/>
          <w:sz w:val="26"/>
          <w:szCs w:val="26"/>
          <w:lang w:val="pl-PL" w:bidi="ar-SA"/>
        </w:rPr>
      </w:pPr>
    </w:p>
    <w:p w:rsidR="00C36F09" w:rsidRPr="00C36F09" w:rsidRDefault="00C36F09" w:rsidP="00C36F09">
      <w:pPr>
        <w:pStyle w:val="Standard"/>
        <w:ind w:left="1068"/>
        <w:rPr>
          <w:rFonts w:asciiTheme="minorHAnsi" w:eastAsiaTheme="minorHAnsi" w:hAnsiTheme="minorHAnsi" w:cstheme="minorBidi"/>
          <w:kern w:val="0"/>
          <w:sz w:val="26"/>
          <w:szCs w:val="26"/>
          <w:lang w:val="pl-PL" w:bidi="ar-SA"/>
        </w:rPr>
      </w:pPr>
      <w:r w:rsidRPr="00C36F09">
        <w:rPr>
          <w:rFonts w:asciiTheme="minorHAnsi" w:eastAsiaTheme="minorHAnsi" w:hAnsiTheme="minorHAnsi" w:cstheme="minorBidi"/>
          <w:kern w:val="0"/>
          <w:sz w:val="26"/>
          <w:szCs w:val="26"/>
          <w:lang w:val="pl-PL" w:bidi="ar-SA"/>
        </w:rPr>
        <w:t>W lokalizacji:</w:t>
      </w:r>
    </w:p>
    <w:p w:rsidR="00C36F09" w:rsidRPr="00C36F09" w:rsidRDefault="00C36F09" w:rsidP="00C36F09">
      <w:pPr>
        <w:pStyle w:val="Standard"/>
        <w:ind w:left="1068"/>
        <w:rPr>
          <w:rFonts w:asciiTheme="minorHAnsi" w:eastAsiaTheme="minorHAnsi" w:hAnsiTheme="minorHAnsi" w:cstheme="minorBidi"/>
          <w:i/>
          <w:kern w:val="0"/>
          <w:sz w:val="26"/>
          <w:szCs w:val="26"/>
          <w:lang w:val="pl-PL" w:bidi="ar-SA"/>
        </w:rPr>
      </w:pPr>
      <w:r w:rsidRPr="00C36F09">
        <w:rPr>
          <w:rFonts w:asciiTheme="minorHAnsi" w:eastAsiaTheme="minorHAnsi" w:hAnsiTheme="minorHAnsi" w:cstheme="minorBidi"/>
          <w:i/>
          <w:kern w:val="0"/>
          <w:sz w:val="26"/>
          <w:szCs w:val="26"/>
          <w:lang w:val="pl-PL" w:bidi="ar-SA"/>
        </w:rPr>
        <w:t>Księgowość -&gt; Raporty -&gt; Stanów</w:t>
      </w:r>
    </w:p>
    <w:p w:rsidR="00C36F09" w:rsidRDefault="00C36F09" w:rsidP="00C36F09">
      <w:pPr>
        <w:pStyle w:val="Standard"/>
        <w:numPr>
          <w:ilvl w:val="0"/>
          <w:numId w:val="27"/>
        </w:numPr>
      </w:pPr>
      <w:r>
        <w:rPr>
          <w:noProof/>
          <w:lang w:val="pl-PL" w:eastAsia="pl-PL" w:bidi="ar-SA"/>
        </w:rPr>
        <w:lastRenderedPageBreak/>
        <w:drawing>
          <wp:anchor distT="0" distB="0" distL="114300" distR="114300" simplePos="0" relativeHeight="251659264" behindDoc="0" locked="0" layoutInCell="1" allowOverlap="1" wp14:anchorId="7D3DBF81" wp14:editId="44E8BEA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79520" cy="4997520"/>
            <wp:effectExtent l="0" t="0" r="0" b="0"/>
            <wp:wrapSquare wrapText="bothSides"/>
            <wp:docPr id="4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9520" cy="499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F09" w:rsidRDefault="00C36F09" w:rsidP="00C36F09">
      <w:pPr>
        <w:pStyle w:val="Standard"/>
        <w:ind w:left="1068"/>
      </w:pPr>
      <w:r>
        <w:t xml:space="preserve">Po </w:t>
      </w:r>
    </w:p>
    <w:p w:rsidR="00C36F09" w:rsidRDefault="00C36F09" w:rsidP="00C36F09">
      <w:pPr>
        <w:pStyle w:val="Standard"/>
        <w:ind w:left="1428"/>
      </w:pPr>
    </w:p>
    <w:p w:rsidR="00C36F09" w:rsidRDefault="00C36F09" w:rsidP="00C36F09">
      <w:pPr>
        <w:pStyle w:val="Akapitzlist"/>
        <w:ind w:left="1428"/>
        <w:rPr>
          <w:sz w:val="26"/>
          <w:szCs w:val="26"/>
        </w:rPr>
      </w:pPr>
    </w:p>
    <w:p w:rsidR="00AE734F" w:rsidRDefault="00AE734F" w:rsidP="00AE734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Ustawienie kodów Form Prawnych odpowiadających klasyfikacji REGON</w:t>
      </w:r>
    </w:p>
    <w:p w:rsidR="00AE734F" w:rsidRDefault="00AE734F" w:rsidP="00AE734F">
      <w:pPr>
        <w:pStyle w:val="Akapitzlist"/>
        <w:ind w:left="1428"/>
        <w:rPr>
          <w:sz w:val="26"/>
          <w:szCs w:val="26"/>
        </w:rPr>
      </w:pPr>
    </w:p>
    <w:p w:rsidR="00AE734F" w:rsidRDefault="0014575C" w:rsidP="00AE734F">
      <w:pPr>
        <w:pStyle w:val="Akapitzlist"/>
        <w:ind w:left="1428"/>
        <w:rPr>
          <w:sz w:val="26"/>
          <w:szCs w:val="26"/>
        </w:rPr>
      </w:pPr>
      <w:hyperlink r:id="rId12" w:history="1">
        <w:r w:rsidR="00FC5DD3" w:rsidRPr="00EB74D7">
          <w:rPr>
            <w:rStyle w:val="Hipercze"/>
            <w:sz w:val="26"/>
            <w:szCs w:val="26"/>
          </w:rPr>
          <w:t>http://stat.gov.pl/metainformacje/slownik-pojec/pojecia-stosowane-w-statystyce-publicznej/97,pojecie.html</w:t>
        </w:r>
      </w:hyperlink>
    </w:p>
    <w:p w:rsidR="00FC5DD3" w:rsidRDefault="00FC5DD3" w:rsidP="00AE734F">
      <w:pPr>
        <w:pStyle w:val="Akapitzlist"/>
        <w:ind w:left="1428"/>
        <w:rPr>
          <w:sz w:val="26"/>
          <w:szCs w:val="26"/>
        </w:rPr>
      </w:pPr>
    </w:p>
    <w:p w:rsidR="00FC5DD3" w:rsidRDefault="00FC5DD3" w:rsidP="00AE734F">
      <w:pPr>
        <w:pStyle w:val="Akapitzlist"/>
        <w:ind w:left="1428"/>
        <w:rPr>
          <w:sz w:val="26"/>
          <w:szCs w:val="26"/>
        </w:rPr>
      </w:pPr>
    </w:p>
    <w:tbl>
      <w:tblPr>
        <w:tblStyle w:val="Tabela-Siatka"/>
        <w:tblW w:w="0" w:type="auto"/>
        <w:tblInd w:w="1428" w:type="dxa"/>
        <w:tblLook w:val="04A0" w:firstRow="1" w:lastRow="0" w:firstColumn="1" w:lastColumn="0" w:noHBand="0" w:noVBand="1"/>
      </w:tblPr>
      <w:tblGrid>
        <w:gridCol w:w="4049"/>
        <w:gridCol w:w="3811"/>
      </w:tblGrid>
      <w:tr w:rsidR="00FC5DD3" w:rsidTr="00FC5DD3">
        <w:tc>
          <w:tcPr>
            <w:tcW w:w="4606" w:type="dxa"/>
          </w:tcPr>
          <w:p w:rsidR="00FC5DD3" w:rsidRPr="00A6291B" w:rsidRDefault="00FC5DD3" w:rsidP="00A6291B">
            <w:pPr>
              <w:pStyle w:val="Akapitzlist"/>
              <w:ind w:left="0"/>
              <w:jc w:val="center"/>
              <w:rPr>
                <w:b/>
                <w:sz w:val="26"/>
                <w:szCs w:val="26"/>
              </w:rPr>
            </w:pPr>
            <w:r w:rsidRPr="00A6291B">
              <w:rPr>
                <w:b/>
                <w:sz w:val="26"/>
                <w:szCs w:val="26"/>
              </w:rPr>
              <w:t>Podmiot</w:t>
            </w:r>
          </w:p>
        </w:tc>
        <w:tc>
          <w:tcPr>
            <w:tcW w:w="4606" w:type="dxa"/>
          </w:tcPr>
          <w:p w:rsidR="00FC5DD3" w:rsidRPr="00A6291B" w:rsidRDefault="00FC5DD3" w:rsidP="00A6291B">
            <w:pPr>
              <w:pStyle w:val="Akapitzlist"/>
              <w:ind w:left="0"/>
              <w:jc w:val="center"/>
              <w:rPr>
                <w:b/>
                <w:sz w:val="26"/>
                <w:szCs w:val="26"/>
              </w:rPr>
            </w:pPr>
            <w:r w:rsidRPr="00A6291B">
              <w:rPr>
                <w:b/>
                <w:sz w:val="26"/>
                <w:szCs w:val="26"/>
              </w:rPr>
              <w:t>Kod</w:t>
            </w:r>
          </w:p>
        </w:tc>
      </w:tr>
      <w:tr w:rsidR="00FC5DD3" w:rsidTr="00FC5DD3">
        <w:tc>
          <w:tcPr>
            <w:tcW w:w="4606" w:type="dxa"/>
          </w:tcPr>
          <w:p w:rsidR="00FC5DD3" w:rsidRDefault="00FC5DD3" w:rsidP="00AE734F">
            <w:pPr>
              <w:pStyle w:val="Akapitzlist"/>
              <w:ind w:left="0"/>
              <w:rPr>
                <w:sz w:val="26"/>
                <w:szCs w:val="26"/>
              </w:rPr>
            </w:pPr>
            <w:r w:rsidRPr="00FC5DD3">
              <w:rPr>
                <w:sz w:val="26"/>
                <w:szCs w:val="26"/>
              </w:rPr>
              <w:t>Osoba fizyczna</w:t>
            </w:r>
            <w:r>
              <w:rPr>
                <w:sz w:val="26"/>
                <w:szCs w:val="26"/>
              </w:rPr>
              <w:t xml:space="preserve"> prowadząca działalność</w:t>
            </w:r>
          </w:p>
        </w:tc>
        <w:tc>
          <w:tcPr>
            <w:tcW w:w="4606" w:type="dxa"/>
          </w:tcPr>
          <w:p w:rsidR="00FC5DD3" w:rsidRDefault="00FC5DD3" w:rsidP="00AE734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099</w:t>
            </w:r>
          </w:p>
        </w:tc>
      </w:tr>
      <w:tr w:rsidR="00FC5DD3" w:rsidTr="00FC5DD3">
        <w:tc>
          <w:tcPr>
            <w:tcW w:w="4606" w:type="dxa"/>
          </w:tcPr>
          <w:p w:rsidR="00FC5DD3" w:rsidRDefault="00FC5DD3" w:rsidP="00AE734F">
            <w:pPr>
              <w:pStyle w:val="Akapitzlist"/>
              <w:ind w:left="0"/>
              <w:rPr>
                <w:sz w:val="26"/>
                <w:szCs w:val="26"/>
              </w:rPr>
            </w:pPr>
            <w:r w:rsidRPr="00FC5DD3">
              <w:rPr>
                <w:sz w:val="26"/>
                <w:szCs w:val="26"/>
              </w:rPr>
              <w:t>Spółka Akcyjna</w:t>
            </w:r>
          </w:p>
        </w:tc>
        <w:tc>
          <w:tcPr>
            <w:tcW w:w="4606" w:type="dxa"/>
          </w:tcPr>
          <w:p w:rsidR="00FC5DD3" w:rsidRDefault="00FC5DD3" w:rsidP="00AE734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</w:tr>
      <w:tr w:rsidR="00FC5DD3" w:rsidTr="00FC5DD3">
        <w:tc>
          <w:tcPr>
            <w:tcW w:w="4606" w:type="dxa"/>
          </w:tcPr>
          <w:p w:rsidR="00FC5DD3" w:rsidRDefault="00FC5DD3" w:rsidP="00AE734F">
            <w:pPr>
              <w:pStyle w:val="Akapitzlist"/>
              <w:ind w:left="0"/>
              <w:rPr>
                <w:sz w:val="26"/>
                <w:szCs w:val="26"/>
              </w:rPr>
            </w:pPr>
            <w:r w:rsidRPr="00FC5DD3">
              <w:rPr>
                <w:sz w:val="26"/>
                <w:szCs w:val="26"/>
              </w:rPr>
              <w:t>Spółka Z.</w:t>
            </w:r>
            <w:proofErr w:type="gramStart"/>
            <w:r w:rsidRPr="00FC5DD3">
              <w:rPr>
                <w:sz w:val="26"/>
                <w:szCs w:val="26"/>
              </w:rPr>
              <w:t>o</w:t>
            </w:r>
            <w:proofErr w:type="gramEnd"/>
            <w:r w:rsidRPr="00FC5DD3">
              <w:rPr>
                <w:sz w:val="26"/>
                <w:szCs w:val="26"/>
              </w:rPr>
              <w:t>.</w:t>
            </w:r>
            <w:proofErr w:type="gramStart"/>
            <w:r w:rsidRPr="00FC5DD3">
              <w:rPr>
                <w:sz w:val="26"/>
                <w:szCs w:val="26"/>
              </w:rPr>
              <w:t>o</w:t>
            </w:r>
            <w:proofErr w:type="gramEnd"/>
            <w:r w:rsidRPr="00FC5DD3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06" w:type="dxa"/>
          </w:tcPr>
          <w:p w:rsidR="00FC5DD3" w:rsidRDefault="00FC5DD3" w:rsidP="00AE734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</w:tr>
      <w:tr w:rsidR="00FC5DD3" w:rsidTr="00FC5DD3">
        <w:tc>
          <w:tcPr>
            <w:tcW w:w="4606" w:type="dxa"/>
          </w:tcPr>
          <w:p w:rsidR="00FC5DD3" w:rsidRPr="00FC5DD3" w:rsidRDefault="00FC5DD3" w:rsidP="00AE734F">
            <w:pPr>
              <w:pStyle w:val="Akapitzlist"/>
              <w:ind w:left="0"/>
              <w:rPr>
                <w:sz w:val="26"/>
                <w:szCs w:val="26"/>
              </w:rPr>
            </w:pPr>
            <w:r w:rsidRPr="00FC5DD3">
              <w:rPr>
                <w:sz w:val="26"/>
                <w:szCs w:val="26"/>
              </w:rPr>
              <w:t xml:space="preserve">Spółka Jawna   </w:t>
            </w:r>
          </w:p>
        </w:tc>
        <w:tc>
          <w:tcPr>
            <w:tcW w:w="4606" w:type="dxa"/>
          </w:tcPr>
          <w:p w:rsidR="00FC5DD3" w:rsidRDefault="00FC5DD3" w:rsidP="00FC5DD3">
            <w:pPr>
              <w:rPr>
                <w:sz w:val="26"/>
                <w:szCs w:val="26"/>
              </w:rPr>
            </w:pPr>
            <w:r w:rsidRPr="00FC5DD3">
              <w:rPr>
                <w:sz w:val="26"/>
                <w:szCs w:val="26"/>
              </w:rPr>
              <w:t>118</w:t>
            </w:r>
          </w:p>
        </w:tc>
      </w:tr>
      <w:tr w:rsidR="00FC5DD3" w:rsidTr="00FC5DD3">
        <w:tc>
          <w:tcPr>
            <w:tcW w:w="4606" w:type="dxa"/>
          </w:tcPr>
          <w:p w:rsidR="00FC5DD3" w:rsidRPr="00FC5DD3" w:rsidRDefault="00FC5DD3" w:rsidP="00AE734F">
            <w:pPr>
              <w:pStyle w:val="Akapitzlist"/>
              <w:ind w:left="0"/>
              <w:rPr>
                <w:sz w:val="26"/>
                <w:szCs w:val="26"/>
              </w:rPr>
            </w:pPr>
            <w:r w:rsidRPr="00FC5DD3">
              <w:rPr>
                <w:sz w:val="26"/>
                <w:szCs w:val="26"/>
              </w:rPr>
              <w:t>Spółka Cywilna</w:t>
            </w:r>
          </w:p>
        </w:tc>
        <w:tc>
          <w:tcPr>
            <w:tcW w:w="4606" w:type="dxa"/>
          </w:tcPr>
          <w:p w:rsidR="00FC5DD3" w:rsidRPr="00FC5DD3" w:rsidRDefault="00FC5DD3" w:rsidP="00FC5DD3">
            <w:pPr>
              <w:rPr>
                <w:sz w:val="26"/>
                <w:szCs w:val="26"/>
              </w:rPr>
            </w:pPr>
            <w:r w:rsidRPr="00FC5DD3">
              <w:rPr>
                <w:sz w:val="26"/>
                <w:szCs w:val="26"/>
              </w:rPr>
              <w:t>119</w:t>
            </w:r>
          </w:p>
        </w:tc>
      </w:tr>
      <w:tr w:rsidR="00FC5DD3" w:rsidTr="00FC5DD3">
        <w:tc>
          <w:tcPr>
            <w:tcW w:w="4606" w:type="dxa"/>
          </w:tcPr>
          <w:p w:rsidR="00FC5DD3" w:rsidRPr="00FC5DD3" w:rsidRDefault="00FC5DD3" w:rsidP="00AE734F">
            <w:pPr>
              <w:pStyle w:val="Akapitzlist"/>
              <w:ind w:left="0"/>
              <w:rPr>
                <w:sz w:val="26"/>
                <w:szCs w:val="26"/>
              </w:rPr>
            </w:pPr>
            <w:r w:rsidRPr="00FC5DD3">
              <w:rPr>
                <w:sz w:val="26"/>
                <w:szCs w:val="26"/>
              </w:rPr>
              <w:t>Spółka Komandytowa</w:t>
            </w:r>
          </w:p>
        </w:tc>
        <w:tc>
          <w:tcPr>
            <w:tcW w:w="4606" w:type="dxa"/>
          </w:tcPr>
          <w:p w:rsidR="00FC5DD3" w:rsidRPr="00FC5DD3" w:rsidRDefault="00FC5DD3" w:rsidP="00FC5DD3">
            <w:pPr>
              <w:rPr>
                <w:sz w:val="26"/>
                <w:szCs w:val="26"/>
              </w:rPr>
            </w:pPr>
            <w:r w:rsidRPr="00FC5DD3">
              <w:rPr>
                <w:sz w:val="26"/>
                <w:szCs w:val="26"/>
              </w:rPr>
              <w:t>120</w:t>
            </w:r>
          </w:p>
        </w:tc>
      </w:tr>
      <w:tr w:rsidR="00FC5DD3" w:rsidTr="00FC5DD3">
        <w:tc>
          <w:tcPr>
            <w:tcW w:w="4606" w:type="dxa"/>
          </w:tcPr>
          <w:p w:rsidR="00FC5DD3" w:rsidRPr="00FC5DD3" w:rsidRDefault="00FC5DD3" w:rsidP="00AE734F">
            <w:pPr>
              <w:pStyle w:val="Akapitzlist"/>
              <w:ind w:left="0"/>
              <w:rPr>
                <w:sz w:val="26"/>
                <w:szCs w:val="26"/>
              </w:rPr>
            </w:pPr>
            <w:r w:rsidRPr="00FC5DD3">
              <w:rPr>
                <w:sz w:val="26"/>
                <w:szCs w:val="26"/>
              </w:rPr>
              <w:t xml:space="preserve">Spółki komandytowo-akcyjne  </w:t>
            </w:r>
          </w:p>
        </w:tc>
        <w:tc>
          <w:tcPr>
            <w:tcW w:w="4606" w:type="dxa"/>
          </w:tcPr>
          <w:p w:rsidR="00FC5DD3" w:rsidRPr="00FC5DD3" w:rsidRDefault="00FC5DD3" w:rsidP="00FC5DD3">
            <w:pPr>
              <w:rPr>
                <w:sz w:val="26"/>
                <w:szCs w:val="26"/>
              </w:rPr>
            </w:pPr>
            <w:r w:rsidRPr="00FC5DD3">
              <w:rPr>
                <w:sz w:val="26"/>
                <w:szCs w:val="26"/>
              </w:rPr>
              <w:t>121</w:t>
            </w:r>
          </w:p>
        </w:tc>
      </w:tr>
    </w:tbl>
    <w:p w:rsidR="00FC5DD3" w:rsidRDefault="00FC5DD3" w:rsidP="00AE734F">
      <w:pPr>
        <w:pStyle w:val="Akapitzlist"/>
        <w:ind w:left="1428"/>
        <w:rPr>
          <w:sz w:val="26"/>
          <w:szCs w:val="26"/>
        </w:rPr>
      </w:pPr>
    </w:p>
    <w:p w:rsidR="00FC5DD3" w:rsidRDefault="00FC5DD3" w:rsidP="00AE734F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2343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4F" w:rsidRDefault="0015060F" w:rsidP="00AE734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Nowa opcja umożliwiającej dodanie umowy do pomocy publicznej. Opcję należy użyć w </w:t>
      </w:r>
      <w:proofErr w:type="gramStart"/>
      <w:r>
        <w:rPr>
          <w:sz w:val="26"/>
          <w:szCs w:val="26"/>
        </w:rPr>
        <w:t>sytuacji gdy</w:t>
      </w:r>
      <w:proofErr w:type="gramEnd"/>
      <w:r>
        <w:rPr>
          <w:sz w:val="26"/>
          <w:szCs w:val="26"/>
        </w:rPr>
        <w:t xml:space="preserve"> nie wyliczono pomocy publicznej na etapie tworzenia nowej umowy. I umowy nie ma w rejestrze pomocy publicznej.</w:t>
      </w:r>
    </w:p>
    <w:p w:rsidR="0015060F" w:rsidRDefault="0015060F" w:rsidP="0015060F">
      <w:pPr>
        <w:pStyle w:val="Akapitzlist"/>
        <w:ind w:left="1428"/>
        <w:rPr>
          <w:sz w:val="26"/>
          <w:szCs w:val="26"/>
        </w:rPr>
      </w:pPr>
    </w:p>
    <w:p w:rsidR="0015060F" w:rsidRDefault="0015060F" w:rsidP="0015060F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657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0F" w:rsidRDefault="000E4538" w:rsidP="00AE734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Rozbudowa opcji eksportu do symfonii z opcji Rejestr VAT</w:t>
      </w:r>
    </w:p>
    <w:tbl>
      <w:tblPr>
        <w:tblW w:w="11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8780"/>
      </w:tblGrid>
      <w:tr w:rsidR="002F35E0" w:rsidRPr="002F35E0" w:rsidTr="002F35E0">
        <w:trPr>
          <w:trHeight w:val="5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Format pliku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 xml:space="preserve">Tekstowy TXT lub CSV. Pola rozdzielone znakiem tabulacji lub </w:t>
            </w:r>
            <w:proofErr w:type="gram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innym który</w:t>
            </w:r>
            <w:proofErr w:type="gramEnd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pewno nie wystąpi w wartościach pól.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F35E0" w:rsidRPr="002F35E0" w:rsidTr="002F35E0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Dokument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Dane nagłówka dokumentu</w:t>
            </w:r>
          </w:p>
        </w:tc>
      </w:tr>
      <w:tr w:rsidR="002F35E0" w:rsidRPr="002F35E0" w:rsidTr="002F35E0">
        <w:trPr>
          <w:trHeight w:val="14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Typ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Typ dokumentu</w:t>
            </w: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br/>
              <w:t>FS - faktura sprzedaży</w:t>
            </w: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proofErr w:type="spell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FSk</w:t>
            </w:r>
            <w:proofErr w:type="spellEnd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korekta sprzedaży</w:t>
            </w: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br/>
              <w:t>FZ - faktura zakupu</w:t>
            </w: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proofErr w:type="spell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FZk</w:t>
            </w:r>
            <w:proofErr w:type="spellEnd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</w:t>
            </w:r>
            <w:proofErr w:type="spell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fakturaz</w:t>
            </w:r>
            <w:proofErr w:type="spellEnd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zakupu korekta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Numer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Numer dokumentu</w:t>
            </w:r>
          </w:p>
        </w:tc>
      </w:tr>
      <w:tr w:rsidR="002F35E0" w:rsidRPr="002F35E0" w:rsidTr="002F35E0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Numer dokumentu korygowanego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Numer dokumentu korygowanego (tylko dla korekt)</w:t>
            </w:r>
          </w:p>
        </w:tc>
      </w:tr>
      <w:tr w:rsidR="002F35E0" w:rsidRPr="002F35E0" w:rsidTr="002F35E0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Data dokumentu korygowanego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Data dokumentu korygowanego (tylko dla korekt)</w:t>
            </w:r>
          </w:p>
        </w:tc>
      </w:tr>
      <w:tr w:rsidR="002F35E0" w:rsidRPr="002F35E0" w:rsidTr="002F35E0">
        <w:trPr>
          <w:trHeight w:val="11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lastRenderedPageBreak/>
              <w:t>Charakter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Rodzaj dokumentu</w:t>
            </w:r>
            <w:proofErr w:type="gram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br/>
              <w:t>0 - dokument</w:t>
            </w:r>
            <w:proofErr w:type="gramEnd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krajowy</w:t>
            </w: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1 - dokument zagraniczny unijny (wewnątrzwspólnotowy)</w:t>
            </w: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br/>
              <w:t>2 - dokument zagraniczny nie unijny (eksportowy/importowy)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Opis/Treść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Treść dokumentu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Waluta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 xml:space="preserve">Symbol waluty dokumentu w </w:t>
            </w:r>
            <w:proofErr w:type="spell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foramcie</w:t>
            </w:r>
            <w:proofErr w:type="spellEnd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ISO 4217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Kurs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Kurs waluty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Kwota Netto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Kwota netto całego dokumentu w walucie dokumentu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Kwota VAT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Kwota vat całego dokumentu w walucie dokumentu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Kwota Brutto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Kwota brutto całego dokumentu w walucie dokumentu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F35E0" w:rsidRPr="002F35E0" w:rsidTr="002F35E0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Kontrahent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Dane kontrahenta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ID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Unikalny identyfikator kontrahenta, który będzie brał udział w uzgodnieniu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Kod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Kod kontrahenta (maksymalnie 40 znaków)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Nazwa kontrahenta (bez limitu znaków)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Symbol kraju kontrahenta w formacie ISO 3166-1 alfa-2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F35E0" w:rsidRPr="002F35E0" w:rsidTr="002F35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Rejestr VAT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F35E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Rozbicie kwot według stawki VAT. Ilość pól zależy od ilości </w:t>
            </w:r>
            <w:proofErr w:type="gramStart"/>
            <w:r w:rsidRPr="002F35E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stawek które</w:t>
            </w:r>
            <w:proofErr w:type="gramEnd"/>
            <w:r w:rsidRPr="002F35E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występują </w:t>
            </w:r>
            <w:r w:rsidRPr="002F35E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br/>
              <w:t>na dokumencie</w:t>
            </w:r>
          </w:p>
        </w:tc>
      </w:tr>
      <w:tr w:rsidR="002F35E0" w:rsidRPr="002F35E0" w:rsidTr="002F35E0">
        <w:trPr>
          <w:trHeight w:val="19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Stawka1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Kod stawki VAT, dopuszczalne wartości</w:t>
            </w:r>
            <w:proofErr w:type="gram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br/>
              <w:t>23 - 23%</w:t>
            </w: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br/>
              <w:t>8 - 8%</w:t>
            </w: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br/>
              <w:t>5 - 5%</w:t>
            </w: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br/>
              <w:t>0 - 0%</w:t>
            </w: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br/>
              <w:t>-1 - zwolniony</w:t>
            </w:r>
            <w:proofErr w:type="gramEnd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-2 - </w:t>
            </w:r>
            <w:proofErr w:type="spell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niepodlega</w:t>
            </w:r>
            <w:proofErr w:type="spellEnd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Netto1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proofErr w:type="gram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wartosć</w:t>
            </w:r>
            <w:proofErr w:type="spellEnd"/>
            <w:proofErr w:type="gramEnd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netto w stawce 1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Vat1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wartość</w:t>
            </w:r>
            <w:proofErr w:type="gramEnd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vat w stawce 1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Brutto2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wartość</w:t>
            </w:r>
            <w:proofErr w:type="gramEnd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brutto w stawce 1</w:t>
            </w:r>
          </w:p>
        </w:tc>
      </w:tr>
      <w:tr w:rsidR="002F35E0" w:rsidRPr="002F35E0" w:rsidTr="002F35E0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StawkaN</w:t>
            </w:r>
            <w:proofErr w:type="spellEnd"/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Kod N-tej stawki VAT, dopuszczalne wartości: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NettoN</w:t>
            </w:r>
            <w:proofErr w:type="spellEnd"/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proofErr w:type="gram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wartosć</w:t>
            </w:r>
            <w:proofErr w:type="spellEnd"/>
            <w:proofErr w:type="gramEnd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netto w stawce N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VatN</w:t>
            </w:r>
            <w:proofErr w:type="spellEnd"/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wartość</w:t>
            </w:r>
            <w:proofErr w:type="gramEnd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vat w stawce N</w:t>
            </w:r>
          </w:p>
        </w:tc>
      </w:tr>
      <w:tr w:rsidR="002F35E0" w:rsidRPr="002F35E0" w:rsidTr="002F35E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BruttoN</w:t>
            </w:r>
            <w:proofErr w:type="spellEnd"/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E0" w:rsidRPr="002F35E0" w:rsidRDefault="002F35E0" w:rsidP="002F3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>wartość</w:t>
            </w:r>
            <w:proofErr w:type="gramEnd"/>
            <w:r w:rsidRPr="002F35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brutto w stawce N</w:t>
            </w:r>
          </w:p>
        </w:tc>
      </w:tr>
    </w:tbl>
    <w:p w:rsidR="002F35E0" w:rsidRDefault="002F35E0" w:rsidP="002F35E0">
      <w:pPr>
        <w:pStyle w:val="Akapitzlist"/>
        <w:ind w:left="1428"/>
        <w:rPr>
          <w:sz w:val="26"/>
          <w:szCs w:val="26"/>
        </w:rPr>
      </w:pPr>
    </w:p>
    <w:p w:rsidR="000E4538" w:rsidRDefault="000E4538" w:rsidP="000E4538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42481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38" w:rsidRDefault="002F35E0" w:rsidP="00AE734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Dodano nową opcję tworzącą użytkownika w bazie </w:t>
      </w:r>
      <w:proofErr w:type="spellStart"/>
      <w:r>
        <w:rPr>
          <w:sz w:val="26"/>
          <w:szCs w:val="26"/>
        </w:rPr>
        <w:t>firebird</w:t>
      </w:r>
      <w:proofErr w:type="spellEnd"/>
      <w:r>
        <w:rPr>
          <w:sz w:val="26"/>
          <w:szCs w:val="26"/>
        </w:rPr>
        <w:t xml:space="preserve"> umożliwiającego połączenie z listą zbiórek na tablet. Utworzony użytkownik posiada okrojone uprawnienia (Grant) do tabel i vidoków.</w:t>
      </w:r>
    </w:p>
    <w:p w:rsidR="002F35E0" w:rsidRDefault="002F35E0" w:rsidP="002F35E0">
      <w:pPr>
        <w:pStyle w:val="Akapitzlist"/>
        <w:ind w:left="1428"/>
        <w:rPr>
          <w:sz w:val="26"/>
          <w:szCs w:val="26"/>
        </w:rPr>
      </w:pPr>
    </w:p>
    <w:p w:rsidR="002F35E0" w:rsidRDefault="002F35E0" w:rsidP="002F35E0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34194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E0" w:rsidRDefault="006A27E1" w:rsidP="00AE734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Nowy parametr w konfiguracji modułu do wysyłki SMS.</w:t>
      </w:r>
    </w:p>
    <w:p w:rsidR="006A27E1" w:rsidRDefault="006A27E1" w:rsidP="006A27E1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lastRenderedPageBreak/>
        <w:t>„</w:t>
      </w:r>
      <w:proofErr w:type="gramStart"/>
      <w:r>
        <w:rPr>
          <w:sz w:val="26"/>
          <w:szCs w:val="26"/>
        </w:rPr>
        <w:t>Przypomnienie  o</w:t>
      </w:r>
      <w:proofErr w:type="gramEnd"/>
      <w:r>
        <w:rPr>
          <w:sz w:val="26"/>
          <w:szCs w:val="26"/>
        </w:rPr>
        <w:t xml:space="preserve"> racie wraz z Zaległościami” </w:t>
      </w:r>
    </w:p>
    <w:p w:rsidR="006A27E1" w:rsidRDefault="006A27E1" w:rsidP="006A27E1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t xml:space="preserve">Jeżeli  parametr jest zaznaczony wówczas kwota zawarta znajdująca się w SMS o zbliżającej się racie zawiera oprócz wartości raty bieżącej również wartość zaległości na dzień. </w:t>
      </w:r>
    </w:p>
    <w:p w:rsidR="006A27E1" w:rsidRDefault="006A27E1" w:rsidP="006A27E1">
      <w:pPr>
        <w:pStyle w:val="Akapitzlist"/>
        <w:ind w:left="1428"/>
        <w:rPr>
          <w:sz w:val="26"/>
          <w:szCs w:val="26"/>
        </w:rPr>
      </w:pPr>
    </w:p>
    <w:p w:rsidR="006A27E1" w:rsidRDefault="006A27E1" w:rsidP="006A27E1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37814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E1" w:rsidRDefault="00C7768B" w:rsidP="00AE734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Powołano nowe znaczniki umożliwiające umieszczenie na pismach i umowach adresu zamieszkania właściciela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C7768B" w:rsidTr="0054385A">
        <w:tc>
          <w:tcPr>
            <w:tcW w:w="2197" w:type="dxa"/>
          </w:tcPr>
          <w:p w:rsidR="00C7768B" w:rsidRDefault="00C7768B" w:rsidP="0054385A">
            <w:r w:rsidRPr="00892815">
              <w:t>WSP1_AZ_NAZWA</w:t>
            </w:r>
          </w:p>
        </w:tc>
        <w:tc>
          <w:tcPr>
            <w:tcW w:w="7015" w:type="dxa"/>
          </w:tcPr>
          <w:p w:rsidR="00C7768B" w:rsidRDefault="00C7768B" w:rsidP="0054385A">
            <w:r>
              <w:t>Nazwa z adresu zamieszkania</w:t>
            </w:r>
          </w:p>
        </w:tc>
      </w:tr>
      <w:tr w:rsidR="00C7768B" w:rsidTr="0054385A">
        <w:tc>
          <w:tcPr>
            <w:tcW w:w="2197" w:type="dxa"/>
          </w:tcPr>
          <w:p w:rsidR="00C7768B" w:rsidRPr="00892815" w:rsidRDefault="00C7768B" w:rsidP="0054385A">
            <w:r w:rsidRPr="00892815">
              <w:t>WSP1_AZ_MIASTO</w:t>
            </w:r>
          </w:p>
        </w:tc>
        <w:tc>
          <w:tcPr>
            <w:tcW w:w="7015" w:type="dxa"/>
          </w:tcPr>
          <w:p w:rsidR="00C7768B" w:rsidRDefault="00C7768B" w:rsidP="0054385A">
            <w:r>
              <w:t>Miasto zamieszkania</w:t>
            </w:r>
          </w:p>
        </w:tc>
      </w:tr>
      <w:tr w:rsidR="00C7768B" w:rsidTr="0054385A">
        <w:tc>
          <w:tcPr>
            <w:tcW w:w="2197" w:type="dxa"/>
          </w:tcPr>
          <w:p w:rsidR="00C7768B" w:rsidRPr="00892815" w:rsidRDefault="00C7768B" w:rsidP="0054385A">
            <w:r w:rsidRPr="00892815">
              <w:t>WSP1_AZ_ULICA</w:t>
            </w:r>
          </w:p>
        </w:tc>
        <w:tc>
          <w:tcPr>
            <w:tcW w:w="7015" w:type="dxa"/>
          </w:tcPr>
          <w:p w:rsidR="00C7768B" w:rsidRDefault="00C7768B" w:rsidP="0054385A">
            <w:r>
              <w:t xml:space="preserve">Ulica zamieszkania wraz z numerem domu </w:t>
            </w:r>
          </w:p>
        </w:tc>
      </w:tr>
      <w:tr w:rsidR="00C7768B" w:rsidTr="0054385A">
        <w:tc>
          <w:tcPr>
            <w:tcW w:w="2197" w:type="dxa"/>
          </w:tcPr>
          <w:p w:rsidR="00C7768B" w:rsidRPr="00892815" w:rsidRDefault="00C7768B" w:rsidP="0054385A">
            <w:r w:rsidRPr="00892815">
              <w:t>WSP1_AZ_KOD_POCZTOWY</w:t>
            </w:r>
          </w:p>
        </w:tc>
        <w:tc>
          <w:tcPr>
            <w:tcW w:w="7015" w:type="dxa"/>
          </w:tcPr>
          <w:p w:rsidR="00C7768B" w:rsidRDefault="00C7768B" w:rsidP="0054385A">
            <w:r>
              <w:t>Kod pocztowy zamieszkania</w:t>
            </w:r>
          </w:p>
        </w:tc>
      </w:tr>
    </w:tbl>
    <w:p w:rsidR="00C7768B" w:rsidRDefault="00C7768B" w:rsidP="00C7768B">
      <w:pPr>
        <w:pStyle w:val="Akapitzlist"/>
        <w:ind w:left="1428"/>
        <w:rPr>
          <w:sz w:val="26"/>
          <w:szCs w:val="26"/>
        </w:rPr>
      </w:pPr>
    </w:p>
    <w:p w:rsidR="00C7768B" w:rsidRDefault="00874F30" w:rsidP="00AE734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Powołano nowe znaczniki umożliwiające umieszczenie na pismach i umowach adresów zamieszkania, poręczycieli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874F30" w:rsidTr="0054385A">
        <w:tc>
          <w:tcPr>
            <w:tcW w:w="2197" w:type="dxa"/>
          </w:tcPr>
          <w:p w:rsidR="00874F30" w:rsidRPr="007C505E" w:rsidRDefault="00874F30" w:rsidP="0054385A">
            <w:r>
              <w:t>[</w:t>
            </w:r>
            <w:r w:rsidRPr="004C53AD">
              <w:t>PR_</w:t>
            </w:r>
            <w:r>
              <w:t>A</w:t>
            </w:r>
            <w:r w:rsidRPr="004C53AD">
              <w:t>ZM_MI</w:t>
            </w:r>
            <w:r>
              <w:t>1]</w:t>
            </w:r>
          </w:p>
        </w:tc>
        <w:tc>
          <w:tcPr>
            <w:tcW w:w="7015" w:type="dxa"/>
          </w:tcPr>
          <w:p w:rsidR="00874F30" w:rsidRDefault="00874F30" w:rsidP="0054385A">
            <w:pPr>
              <w:pStyle w:val="Nagwek2"/>
              <w:rPr>
                <w:b w:val="0"/>
              </w:rPr>
            </w:pPr>
            <w:r>
              <w:rPr>
                <w:b w:val="0"/>
              </w:rPr>
              <w:t>Poręczyciel adres zamieszkania, miejscowość</w:t>
            </w:r>
          </w:p>
        </w:tc>
      </w:tr>
      <w:tr w:rsidR="00874F30" w:rsidTr="0054385A">
        <w:tc>
          <w:tcPr>
            <w:tcW w:w="2197" w:type="dxa"/>
          </w:tcPr>
          <w:p w:rsidR="00874F30" w:rsidRDefault="00874F30" w:rsidP="0054385A">
            <w:r>
              <w:t>[</w:t>
            </w:r>
            <w:r w:rsidRPr="004C53AD">
              <w:t>PR_</w:t>
            </w:r>
            <w:r>
              <w:t>A</w:t>
            </w:r>
            <w:r w:rsidRPr="004C53AD">
              <w:t>ZM_UL</w:t>
            </w:r>
            <w:r>
              <w:t>1]</w:t>
            </w:r>
          </w:p>
        </w:tc>
        <w:tc>
          <w:tcPr>
            <w:tcW w:w="7015" w:type="dxa"/>
          </w:tcPr>
          <w:p w:rsidR="00874F30" w:rsidRDefault="00874F30" w:rsidP="0054385A">
            <w:pPr>
              <w:pStyle w:val="Nagwek2"/>
              <w:rPr>
                <w:b w:val="0"/>
              </w:rPr>
            </w:pPr>
            <w:r>
              <w:rPr>
                <w:b w:val="0"/>
              </w:rPr>
              <w:t>Poręczyciel adres zamieszkania, ulica</w:t>
            </w:r>
          </w:p>
        </w:tc>
      </w:tr>
      <w:tr w:rsidR="00874F30" w:rsidTr="0054385A">
        <w:tc>
          <w:tcPr>
            <w:tcW w:w="2197" w:type="dxa"/>
          </w:tcPr>
          <w:p w:rsidR="00874F30" w:rsidRDefault="00874F30" w:rsidP="0054385A">
            <w:r>
              <w:lastRenderedPageBreak/>
              <w:t>[</w:t>
            </w:r>
            <w:r w:rsidRPr="004C53AD">
              <w:t>PR_</w:t>
            </w:r>
            <w:r>
              <w:t>A</w:t>
            </w:r>
            <w:r w:rsidRPr="004C53AD">
              <w:t>ZM_KOD</w:t>
            </w:r>
            <w:r>
              <w:t>1]</w:t>
            </w:r>
          </w:p>
        </w:tc>
        <w:tc>
          <w:tcPr>
            <w:tcW w:w="7015" w:type="dxa"/>
          </w:tcPr>
          <w:p w:rsidR="00874F30" w:rsidRDefault="00874F30" w:rsidP="0054385A">
            <w:pPr>
              <w:pStyle w:val="Nagwek2"/>
              <w:rPr>
                <w:b w:val="0"/>
              </w:rPr>
            </w:pPr>
            <w:r>
              <w:rPr>
                <w:b w:val="0"/>
              </w:rPr>
              <w:t>Poręczyciel adres zamieszkania, kod pocztowy</w:t>
            </w:r>
          </w:p>
        </w:tc>
      </w:tr>
      <w:tr w:rsidR="00874F30" w:rsidTr="0054385A">
        <w:tc>
          <w:tcPr>
            <w:tcW w:w="2197" w:type="dxa"/>
          </w:tcPr>
          <w:p w:rsidR="00874F30" w:rsidRDefault="00874F30" w:rsidP="0054385A">
            <w:r>
              <w:t>[</w:t>
            </w:r>
            <w:r w:rsidRPr="004C53AD">
              <w:t>PR_</w:t>
            </w:r>
            <w:r>
              <w:t>A</w:t>
            </w:r>
            <w:r w:rsidRPr="004C53AD">
              <w:t>ZM_NR</w:t>
            </w:r>
            <w:r>
              <w:t>1]</w:t>
            </w:r>
          </w:p>
        </w:tc>
        <w:tc>
          <w:tcPr>
            <w:tcW w:w="7015" w:type="dxa"/>
          </w:tcPr>
          <w:p w:rsidR="00874F30" w:rsidRDefault="00874F30" w:rsidP="0054385A">
            <w:pPr>
              <w:pStyle w:val="Nagwek2"/>
              <w:rPr>
                <w:b w:val="0"/>
              </w:rPr>
            </w:pPr>
            <w:r>
              <w:rPr>
                <w:b w:val="0"/>
              </w:rPr>
              <w:t>Poręczyciel adres zamieszkania, numer domu</w:t>
            </w:r>
          </w:p>
        </w:tc>
      </w:tr>
    </w:tbl>
    <w:p w:rsidR="00874F30" w:rsidRDefault="00874F30" w:rsidP="00874F30">
      <w:pPr>
        <w:pStyle w:val="Akapitzlist"/>
        <w:ind w:left="1428"/>
        <w:rPr>
          <w:sz w:val="26"/>
          <w:szCs w:val="26"/>
        </w:rPr>
      </w:pPr>
    </w:p>
    <w:p w:rsidR="00874F30" w:rsidRDefault="00B92938" w:rsidP="00AE734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Nowe znaczniki dla pism komorniczych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92938" w:rsidTr="00BE5CBB">
        <w:tc>
          <w:tcPr>
            <w:tcW w:w="2235" w:type="dxa"/>
          </w:tcPr>
          <w:p w:rsidR="00B92938" w:rsidRDefault="00B92938" w:rsidP="00BE5CBB">
            <w:r>
              <w:t>KM_NAZWISKO</w:t>
            </w:r>
          </w:p>
        </w:tc>
        <w:tc>
          <w:tcPr>
            <w:tcW w:w="6977" w:type="dxa"/>
          </w:tcPr>
          <w:p w:rsidR="00B92938" w:rsidRDefault="00B92938" w:rsidP="00BE5CBB">
            <w:r>
              <w:t xml:space="preserve">Nazwisko komornika </w:t>
            </w:r>
          </w:p>
        </w:tc>
      </w:tr>
      <w:tr w:rsidR="00B92938" w:rsidTr="00BE5CBB">
        <w:tc>
          <w:tcPr>
            <w:tcW w:w="2235" w:type="dxa"/>
          </w:tcPr>
          <w:p w:rsidR="00B92938" w:rsidRDefault="00B92938" w:rsidP="00BE5CBB">
            <w:r>
              <w:t xml:space="preserve">KM_IMIE </w:t>
            </w:r>
          </w:p>
        </w:tc>
        <w:tc>
          <w:tcPr>
            <w:tcW w:w="6977" w:type="dxa"/>
          </w:tcPr>
          <w:p w:rsidR="00B92938" w:rsidRDefault="00B92938" w:rsidP="00BE5CBB">
            <w:r>
              <w:t>Imię komornika</w:t>
            </w:r>
          </w:p>
        </w:tc>
      </w:tr>
      <w:tr w:rsidR="00B92938" w:rsidTr="00BE5CBB">
        <w:trPr>
          <w:trHeight w:val="70"/>
        </w:trPr>
        <w:tc>
          <w:tcPr>
            <w:tcW w:w="2235" w:type="dxa"/>
          </w:tcPr>
          <w:p w:rsidR="00B92938" w:rsidRDefault="00B92938" w:rsidP="00BE5CBB">
            <w:r>
              <w:t>KM_ADRES</w:t>
            </w:r>
          </w:p>
        </w:tc>
        <w:tc>
          <w:tcPr>
            <w:tcW w:w="6977" w:type="dxa"/>
          </w:tcPr>
          <w:p w:rsidR="00B92938" w:rsidRDefault="00B92938" w:rsidP="00BE5CBB">
            <w:r>
              <w:t>Adres kancelarii komorniczej</w:t>
            </w:r>
          </w:p>
        </w:tc>
      </w:tr>
      <w:tr w:rsidR="00B92938" w:rsidTr="00BE5CBB">
        <w:trPr>
          <w:trHeight w:val="71"/>
        </w:trPr>
        <w:tc>
          <w:tcPr>
            <w:tcW w:w="2235" w:type="dxa"/>
          </w:tcPr>
          <w:p w:rsidR="00B92938" w:rsidRDefault="00B92938" w:rsidP="00BE5CBB">
            <w:r>
              <w:t>KM_PRZYSADZIE</w:t>
            </w:r>
          </w:p>
        </w:tc>
        <w:tc>
          <w:tcPr>
            <w:tcW w:w="6977" w:type="dxa"/>
          </w:tcPr>
          <w:p w:rsidR="00B92938" w:rsidRDefault="00B92938" w:rsidP="00BE5CBB">
            <w:r>
              <w:t>Dane sądu, przy którym działa komornik</w:t>
            </w:r>
          </w:p>
        </w:tc>
      </w:tr>
    </w:tbl>
    <w:p w:rsidR="00B92938" w:rsidRDefault="00B92938" w:rsidP="00B92938">
      <w:pPr>
        <w:pStyle w:val="Akapitzlist"/>
        <w:ind w:left="1428"/>
        <w:rPr>
          <w:sz w:val="26"/>
          <w:szCs w:val="26"/>
        </w:rPr>
      </w:pPr>
    </w:p>
    <w:p w:rsidR="00B92938" w:rsidRDefault="009544AB" w:rsidP="00AE734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Zmiana w zabezpieczeniach</w:t>
      </w:r>
    </w:p>
    <w:p w:rsidR="009544AB" w:rsidRDefault="009544AB" w:rsidP="009544AB">
      <w:proofErr w:type="gramStart"/>
      <w:r>
        <w:t>Zmieniono  widoki</w:t>
      </w:r>
      <w:proofErr w:type="gramEnd"/>
      <w:r>
        <w:t xml:space="preserve"> formularzy  w lokalizacji:</w:t>
      </w:r>
    </w:p>
    <w:p w:rsidR="009544AB" w:rsidRDefault="009544AB" w:rsidP="009544AB">
      <w:r>
        <w:t xml:space="preserve">Umowy Info. -&gt; Zabezpieczenie </w:t>
      </w:r>
    </w:p>
    <w:p w:rsidR="009544AB" w:rsidRDefault="009544AB" w:rsidP="009544AB">
      <w:r>
        <w:rPr>
          <w:noProof/>
          <w:lang w:eastAsia="pl-PL"/>
        </w:rPr>
        <w:drawing>
          <wp:inline distT="0" distB="0" distL="0" distR="0">
            <wp:extent cx="5562600" cy="34766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AB" w:rsidRDefault="009544AB" w:rsidP="009544AB">
      <w:r>
        <w:t xml:space="preserve">Dla zabezpieczenia „zastaw” </w:t>
      </w:r>
    </w:p>
    <w:p w:rsidR="009544AB" w:rsidRDefault="009544AB" w:rsidP="009544AB">
      <w:pPr>
        <w:pStyle w:val="Akapitzlist"/>
        <w:numPr>
          <w:ilvl w:val="0"/>
          <w:numId w:val="29"/>
        </w:numPr>
      </w:pPr>
      <w:r>
        <w:t>Pole poręczyciel zmieniono na nieaktywne</w:t>
      </w:r>
    </w:p>
    <w:p w:rsidR="009544AB" w:rsidRDefault="009544AB" w:rsidP="009544AB">
      <w:pPr>
        <w:pStyle w:val="Akapitzlist"/>
        <w:numPr>
          <w:ilvl w:val="0"/>
          <w:numId w:val="29"/>
        </w:numPr>
      </w:pPr>
      <w:r>
        <w:t>Dodano pola edycyjne jak niżej</w:t>
      </w:r>
    </w:p>
    <w:p w:rsidR="009544AB" w:rsidRDefault="009544AB" w:rsidP="009544AB">
      <w:r>
        <w:rPr>
          <w:noProof/>
          <w:lang w:eastAsia="pl-PL"/>
        </w:rPr>
        <w:lastRenderedPageBreak/>
        <w:drawing>
          <wp:inline distT="0" distB="0" distL="0" distR="0">
            <wp:extent cx="5762625" cy="3095625"/>
            <wp:effectExtent l="0" t="0" r="9525" b="9525"/>
            <wp:docPr id="11" name="Obraz 11" descr="z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as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AB" w:rsidRDefault="009544AB" w:rsidP="009544AB"/>
    <w:p w:rsidR="009544AB" w:rsidRDefault="009544AB" w:rsidP="009544AB"/>
    <w:p w:rsidR="009544AB" w:rsidRDefault="009544AB" w:rsidP="009544AB">
      <w:r>
        <w:t xml:space="preserve">Dla zabezpieczenia „hipoteka” </w:t>
      </w:r>
    </w:p>
    <w:p w:rsidR="009544AB" w:rsidRDefault="009544AB" w:rsidP="009544AB">
      <w:pPr>
        <w:pStyle w:val="Akapitzlist"/>
        <w:numPr>
          <w:ilvl w:val="0"/>
          <w:numId w:val="29"/>
        </w:numPr>
      </w:pPr>
      <w:r>
        <w:t>Pole poręczyciel zmieniono na nieaktywne</w:t>
      </w:r>
    </w:p>
    <w:p w:rsidR="009544AB" w:rsidRDefault="009544AB" w:rsidP="009544AB">
      <w:pPr>
        <w:pStyle w:val="Akapitzlist"/>
        <w:numPr>
          <w:ilvl w:val="0"/>
          <w:numId w:val="29"/>
        </w:numPr>
      </w:pPr>
      <w:r>
        <w:t>Dodano pola edycyjne jak niżej</w:t>
      </w:r>
    </w:p>
    <w:p w:rsidR="009544AB" w:rsidRDefault="009544AB" w:rsidP="009544AB">
      <w:r>
        <w:rPr>
          <w:noProof/>
          <w:lang w:eastAsia="pl-PL"/>
        </w:rPr>
        <w:drawing>
          <wp:inline distT="0" distB="0" distL="0" distR="0">
            <wp:extent cx="5762625" cy="3095625"/>
            <wp:effectExtent l="0" t="0" r="9525" b="9525"/>
            <wp:docPr id="10" name="Obraz 10" descr="h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ip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AB" w:rsidRDefault="009544AB" w:rsidP="009544AB"/>
    <w:p w:rsidR="009544AB" w:rsidRDefault="009544AB" w:rsidP="009544AB">
      <w:r>
        <w:t xml:space="preserve">Dla zabezpieczenia „przewłaszczenie śr. </w:t>
      </w:r>
      <w:proofErr w:type="spellStart"/>
      <w:proofErr w:type="gramStart"/>
      <w:r>
        <w:t>trw</w:t>
      </w:r>
      <w:proofErr w:type="spellEnd"/>
      <w:proofErr w:type="gramEnd"/>
      <w:r>
        <w:t xml:space="preserve">.” </w:t>
      </w:r>
    </w:p>
    <w:p w:rsidR="009544AB" w:rsidRDefault="009544AB" w:rsidP="009544AB">
      <w:pPr>
        <w:pStyle w:val="Akapitzlist"/>
        <w:numPr>
          <w:ilvl w:val="0"/>
          <w:numId w:val="29"/>
        </w:numPr>
      </w:pPr>
      <w:r>
        <w:t>Pole poręczyciel zmieniono na nieaktywne</w:t>
      </w:r>
    </w:p>
    <w:p w:rsidR="009544AB" w:rsidRDefault="009544AB" w:rsidP="009544AB">
      <w:pPr>
        <w:pStyle w:val="Akapitzlist"/>
        <w:numPr>
          <w:ilvl w:val="0"/>
          <w:numId w:val="29"/>
        </w:numPr>
      </w:pPr>
      <w:r>
        <w:lastRenderedPageBreak/>
        <w:t>Dodano pola edycyjne jak niżej</w:t>
      </w:r>
    </w:p>
    <w:p w:rsidR="009544AB" w:rsidRDefault="009544AB" w:rsidP="009544AB">
      <w:r>
        <w:rPr>
          <w:noProof/>
          <w:lang w:eastAsia="pl-PL"/>
        </w:rPr>
        <w:drawing>
          <wp:inline distT="0" distB="0" distL="0" distR="0">
            <wp:extent cx="5762625" cy="3095625"/>
            <wp:effectExtent l="0" t="0" r="9525" b="9525"/>
            <wp:docPr id="9" name="Obraz 9" descr="prz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rzew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AB" w:rsidRDefault="009544AB" w:rsidP="009544AB"/>
    <w:p w:rsidR="009544AB" w:rsidRDefault="009544AB" w:rsidP="009544AB">
      <w:r>
        <w:t>W lokalizacji:</w:t>
      </w:r>
    </w:p>
    <w:p w:rsidR="009544AB" w:rsidRDefault="009544AB" w:rsidP="009544AB">
      <w:r>
        <w:t xml:space="preserve">Umowy Info. -&gt; Raport </w:t>
      </w:r>
      <w:proofErr w:type="spellStart"/>
      <w:r>
        <w:t>Zabz</w:t>
      </w:r>
      <w:proofErr w:type="spellEnd"/>
      <w:r>
        <w:t xml:space="preserve">. </w:t>
      </w:r>
    </w:p>
    <w:p w:rsidR="009544AB" w:rsidRDefault="009544AB" w:rsidP="009544AB">
      <w:r>
        <w:t>Dodano:</w:t>
      </w:r>
    </w:p>
    <w:p w:rsidR="009544AB" w:rsidRDefault="009544AB" w:rsidP="009544AB">
      <w:pPr>
        <w:pStyle w:val="Akapitzlist"/>
        <w:numPr>
          <w:ilvl w:val="0"/>
          <w:numId w:val="30"/>
        </w:numPr>
      </w:pPr>
      <w:proofErr w:type="gramStart"/>
      <w:r>
        <w:t>kolumnę</w:t>
      </w:r>
      <w:proofErr w:type="gramEnd"/>
      <w:r>
        <w:t xml:space="preserve"> „Data ważności polisy”</w:t>
      </w:r>
    </w:p>
    <w:p w:rsidR="009544AB" w:rsidRDefault="009544AB" w:rsidP="009544AB">
      <w:pPr>
        <w:pStyle w:val="Akapitzlist"/>
        <w:numPr>
          <w:ilvl w:val="0"/>
          <w:numId w:val="30"/>
        </w:numPr>
      </w:pPr>
      <w:r>
        <w:t xml:space="preserve"> </w:t>
      </w:r>
      <w:proofErr w:type="gramStart"/>
      <w:r>
        <w:t>filtrowanie</w:t>
      </w:r>
      <w:proofErr w:type="gramEnd"/>
      <w:r>
        <w:t xml:space="preserve"> po dacie ważności polisy oraz po rodzaju produktów</w:t>
      </w:r>
    </w:p>
    <w:p w:rsidR="009544AB" w:rsidRDefault="009544AB" w:rsidP="009544AB">
      <w:pPr>
        <w:pStyle w:val="Akapitzlist"/>
        <w:ind w:left="1428"/>
        <w:rPr>
          <w:sz w:val="26"/>
          <w:szCs w:val="26"/>
        </w:rPr>
      </w:pPr>
    </w:p>
    <w:p w:rsidR="009544AB" w:rsidRDefault="009544AB" w:rsidP="00AE734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Zmiana w opcjach dodatkowych w opcji spłata dla terminarza sztywnego. Po wybraniu opcji „Wcześniejsza spłata</w:t>
      </w:r>
    </w:p>
    <w:p w:rsidR="009544AB" w:rsidRDefault="009544AB" w:rsidP="009544AB">
      <w:pPr>
        <w:pStyle w:val="Akapitzlist"/>
        <w:ind w:left="1428"/>
        <w:rPr>
          <w:sz w:val="26"/>
          <w:szCs w:val="26"/>
        </w:rPr>
      </w:pPr>
    </w:p>
    <w:p w:rsidR="009544AB" w:rsidRDefault="009544AB" w:rsidP="009544AB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28860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AB" w:rsidRDefault="009544AB" w:rsidP="009544AB">
      <w:pPr>
        <w:pStyle w:val="Akapitzlist"/>
        <w:ind w:left="1428"/>
        <w:rPr>
          <w:sz w:val="26"/>
          <w:szCs w:val="26"/>
        </w:rPr>
      </w:pPr>
    </w:p>
    <w:p w:rsidR="009544AB" w:rsidRDefault="00640C9C" w:rsidP="00AE734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Dodano możliwość wykluczenia produktu z raportu PARP. Parametr w wersji W nie jest jeszcze obsługiwany. Parametr będzie obsługiwany od wersji 4.18Z</w:t>
      </w:r>
    </w:p>
    <w:p w:rsidR="00640C9C" w:rsidRDefault="00640C9C" w:rsidP="00640C9C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5430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C" w:rsidRDefault="00640C9C" w:rsidP="00AE734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Rozbudowano raport zabezpieczeń można dodać do raportu kolumnę datę ważności polisy</w:t>
      </w:r>
    </w:p>
    <w:p w:rsidR="00640C9C" w:rsidRDefault="00640C9C" w:rsidP="00640C9C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2105025" cy="386715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C" w:rsidRDefault="00640C9C" w:rsidP="00AE734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Raport zabezpieczeń rozbudowano dodano dwa filtry </w:t>
      </w:r>
    </w:p>
    <w:p w:rsidR="00640C9C" w:rsidRDefault="00640C9C" w:rsidP="00640C9C">
      <w:pPr>
        <w:pStyle w:val="Akapitzlist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Produkt</w:t>
      </w:r>
    </w:p>
    <w:p w:rsidR="00640C9C" w:rsidRDefault="00640C9C" w:rsidP="00640C9C">
      <w:pPr>
        <w:pStyle w:val="Akapitzlist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Data ważności polisy</w:t>
      </w:r>
    </w:p>
    <w:p w:rsidR="00640C9C" w:rsidRDefault="00640C9C" w:rsidP="00640C9C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17157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C" w:rsidRDefault="00495EE7" w:rsidP="00AE734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Nowe znaczniki pozwalające na określenie wielkości przedsiębiorstwa</w:t>
      </w:r>
    </w:p>
    <w:tbl>
      <w:tblPr>
        <w:tblStyle w:val="Tabela-Siatka"/>
        <w:tblW w:w="0" w:type="auto"/>
        <w:tblInd w:w="1428" w:type="dxa"/>
        <w:tblLook w:val="04A0" w:firstRow="1" w:lastRow="0" w:firstColumn="1" w:lastColumn="0" w:noHBand="0" w:noVBand="1"/>
      </w:tblPr>
      <w:tblGrid>
        <w:gridCol w:w="3924"/>
        <w:gridCol w:w="3936"/>
      </w:tblGrid>
      <w:tr w:rsidR="00495EE7" w:rsidTr="00495EE7">
        <w:tc>
          <w:tcPr>
            <w:tcW w:w="4606" w:type="dxa"/>
          </w:tcPr>
          <w:p w:rsidR="00495EE7" w:rsidRDefault="00495EE7" w:rsidP="00495EE7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Znacznik</w:t>
            </w:r>
          </w:p>
        </w:tc>
        <w:tc>
          <w:tcPr>
            <w:tcW w:w="4606" w:type="dxa"/>
          </w:tcPr>
          <w:p w:rsidR="00495EE7" w:rsidRDefault="00495EE7" w:rsidP="00495EE7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Opis</w:t>
            </w:r>
          </w:p>
        </w:tc>
      </w:tr>
      <w:tr w:rsidR="00495EE7" w:rsidTr="00495EE7">
        <w:tc>
          <w:tcPr>
            <w:tcW w:w="4606" w:type="dxa"/>
          </w:tcPr>
          <w:p w:rsidR="00495EE7" w:rsidRDefault="00495EE7" w:rsidP="00495EE7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WN_WIE</w:t>
            </w:r>
            <w:r w:rsidRPr="00495EE7">
              <w:rPr>
                <w:sz w:val="26"/>
                <w:szCs w:val="26"/>
              </w:rPr>
              <w:t>_PRZED</w:t>
            </w:r>
          </w:p>
        </w:tc>
        <w:tc>
          <w:tcPr>
            <w:tcW w:w="4606" w:type="dxa"/>
          </w:tcPr>
          <w:p w:rsidR="00495EE7" w:rsidRDefault="00495EE7" w:rsidP="00495EE7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Wniosek wielkość przedsiębiorstwa</w:t>
            </w:r>
          </w:p>
        </w:tc>
      </w:tr>
      <w:tr w:rsidR="00495EE7" w:rsidTr="00495EE7">
        <w:tc>
          <w:tcPr>
            <w:tcW w:w="4606" w:type="dxa"/>
          </w:tcPr>
          <w:p w:rsidR="00495EE7" w:rsidRDefault="00495EE7" w:rsidP="00495EE7">
            <w:pPr>
              <w:pStyle w:val="Akapitzlist"/>
              <w:ind w:left="0"/>
              <w:rPr>
                <w:sz w:val="26"/>
                <w:szCs w:val="26"/>
              </w:rPr>
            </w:pPr>
            <w:r w:rsidRPr="00495EE7">
              <w:rPr>
                <w:sz w:val="26"/>
                <w:szCs w:val="26"/>
              </w:rPr>
              <w:t>KL_WIE_PRZED</w:t>
            </w:r>
          </w:p>
        </w:tc>
        <w:tc>
          <w:tcPr>
            <w:tcW w:w="4606" w:type="dxa"/>
          </w:tcPr>
          <w:p w:rsidR="00495EE7" w:rsidRDefault="00495EE7" w:rsidP="00495EE7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Klient wielkość przedsiębiorstwa</w:t>
            </w:r>
          </w:p>
        </w:tc>
      </w:tr>
    </w:tbl>
    <w:p w:rsidR="00495EE7" w:rsidRDefault="00495EE7" w:rsidP="00495EE7">
      <w:pPr>
        <w:pStyle w:val="Akapitzlist"/>
        <w:ind w:left="1428"/>
        <w:rPr>
          <w:sz w:val="26"/>
          <w:szCs w:val="26"/>
        </w:rPr>
      </w:pPr>
    </w:p>
    <w:p w:rsidR="00495EE7" w:rsidRPr="00AE734F" w:rsidRDefault="00495EE7" w:rsidP="00AE734F">
      <w:pPr>
        <w:pStyle w:val="Akapitzlist"/>
        <w:numPr>
          <w:ilvl w:val="0"/>
          <w:numId w:val="27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x</w:t>
      </w:r>
      <w:bookmarkStart w:id="0" w:name="_GoBack"/>
      <w:bookmarkEnd w:id="0"/>
      <w:proofErr w:type="gramEnd"/>
    </w:p>
    <w:p w:rsidR="00AE734F" w:rsidRDefault="00AE734F" w:rsidP="00C87E74">
      <w:pPr>
        <w:ind w:firstLine="708"/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Uruchomić opcję Baza -&gt; Instalacja wersji</w:t>
      </w:r>
    </w:p>
    <w:p w:rsidR="00BC4802" w:rsidRDefault="00BC4802" w:rsidP="00BC4802">
      <w:pPr>
        <w:pStyle w:val="Akapitzlist"/>
        <w:ind w:left="0"/>
        <w:rPr>
          <w:sz w:val="26"/>
          <w:szCs w:val="26"/>
        </w:rPr>
      </w:pPr>
    </w:p>
    <w:p w:rsidR="007776C6" w:rsidRDefault="007776C6" w:rsidP="00321DF2">
      <w:pPr>
        <w:pStyle w:val="Akapitzlist"/>
        <w:ind w:left="0"/>
        <w:rPr>
          <w:sz w:val="26"/>
          <w:szCs w:val="26"/>
        </w:rPr>
      </w:pPr>
    </w:p>
    <w:p w:rsidR="002C7433" w:rsidRPr="002C7433" w:rsidRDefault="002C7433" w:rsidP="00C87E74">
      <w:pPr>
        <w:pStyle w:val="Akapitzlist"/>
        <w:ind w:left="0"/>
        <w:rPr>
          <w:sz w:val="26"/>
          <w:szCs w:val="26"/>
        </w:rPr>
      </w:pPr>
    </w:p>
    <w:sectPr w:rsidR="002C7433" w:rsidRPr="002C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5C" w:rsidRDefault="0014575C" w:rsidP="00424FC7">
      <w:pPr>
        <w:spacing w:after="0" w:line="240" w:lineRule="auto"/>
      </w:pPr>
      <w:r>
        <w:separator/>
      </w:r>
    </w:p>
  </w:endnote>
  <w:endnote w:type="continuationSeparator" w:id="0">
    <w:p w:rsidR="0014575C" w:rsidRDefault="0014575C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5C" w:rsidRDefault="0014575C" w:rsidP="00424FC7">
      <w:pPr>
        <w:spacing w:after="0" w:line="240" w:lineRule="auto"/>
      </w:pPr>
      <w:r>
        <w:separator/>
      </w:r>
    </w:p>
  </w:footnote>
  <w:footnote w:type="continuationSeparator" w:id="0">
    <w:p w:rsidR="0014575C" w:rsidRDefault="0014575C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34FF5"/>
    <w:multiLevelType w:val="hybridMultilevel"/>
    <w:tmpl w:val="7EEEC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A815DC"/>
    <w:multiLevelType w:val="hybridMultilevel"/>
    <w:tmpl w:val="B3E2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03386"/>
    <w:multiLevelType w:val="hybridMultilevel"/>
    <w:tmpl w:val="A48E879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23757852"/>
    <w:multiLevelType w:val="hybridMultilevel"/>
    <w:tmpl w:val="7A48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DE5AD2"/>
    <w:multiLevelType w:val="hybridMultilevel"/>
    <w:tmpl w:val="F24864A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CA4BBD"/>
    <w:multiLevelType w:val="hybridMultilevel"/>
    <w:tmpl w:val="E530F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35954FFF"/>
    <w:multiLevelType w:val="hybridMultilevel"/>
    <w:tmpl w:val="3E6E7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D6C2B34"/>
    <w:multiLevelType w:val="hybridMultilevel"/>
    <w:tmpl w:val="30C4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9D103A"/>
    <w:multiLevelType w:val="hybridMultilevel"/>
    <w:tmpl w:val="5302FE5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52EA1F46"/>
    <w:multiLevelType w:val="hybridMultilevel"/>
    <w:tmpl w:val="05A27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05CB4"/>
    <w:multiLevelType w:val="hybridMultilevel"/>
    <w:tmpl w:val="E17E6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53561C5"/>
    <w:multiLevelType w:val="hybridMultilevel"/>
    <w:tmpl w:val="268ADB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66841FCB"/>
    <w:multiLevelType w:val="hybridMultilevel"/>
    <w:tmpl w:val="AD787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3"/>
  </w:num>
  <w:num w:numId="4">
    <w:abstractNumId w:val="25"/>
  </w:num>
  <w:num w:numId="5">
    <w:abstractNumId w:val="24"/>
  </w:num>
  <w:num w:numId="6">
    <w:abstractNumId w:val="16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2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6"/>
  </w:num>
  <w:num w:numId="16">
    <w:abstractNumId w:val="0"/>
  </w:num>
  <w:num w:numId="17">
    <w:abstractNumId w:val="20"/>
  </w:num>
  <w:num w:numId="18">
    <w:abstractNumId w:val="9"/>
  </w:num>
  <w:num w:numId="19">
    <w:abstractNumId w:val="30"/>
  </w:num>
  <w:num w:numId="20">
    <w:abstractNumId w:val="27"/>
  </w:num>
  <w:num w:numId="21">
    <w:abstractNumId w:val="21"/>
  </w:num>
  <w:num w:numId="22">
    <w:abstractNumId w:val="3"/>
  </w:num>
  <w:num w:numId="23">
    <w:abstractNumId w:val="13"/>
  </w:num>
  <w:num w:numId="24">
    <w:abstractNumId w:val="1"/>
  </w:num>
  <w:num w:numId="25">
    <w:abstractNumId w:val="22"/>
  </w:num>
  <w:num w:numId="26">
    <w:abstractNumId w:val="11"/>
  </w:num>
  <w:num w:numId="27">
    <w:abstractNumId w:val="7"/>
  </w:num>
  <w:num w:numId="28">
    <w:abstractNumId w:val="8"/>
  </w:num>
  <w:num w:numId="29">
    <w:abstractNumId w:val="28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430E"/>
    <w:rsid w:val="0001458C"/>
    <w:rsid w:val="00016C90"/>
    <w:rsid w:val="000326B2"/>
    <w:rsid w:val="0004364A"/>
    <w:rsid w:val="0005674E"/>
    <w:rsid w:val="00082098"/>
    <w:rsid w:val="000963D0"/>
    <w:rsid w:val="000B3065"/>
    <w:rsid w:val="000C44B6"/>
    <w:rsid w:val="000C6290"/>
    <w:rsid w:val="000D2735"/>
    <w:rsid w:val="000D4EE4"/>
    <w:rsid w:val="000E4538"/>
    <w:rsid w:val="001020FF"/>
    <w:rsid w:val="00107AE8"/>
    <w:rsid w:val="001256BB"/>
    <w:rsid w:val="00134A78"/>
    <w:rsid w:val="0014575C"/>
    <w:rsid w:val="0015060F"/>
    <w:rsid w:val="00160EB9"/>
    <w:rsid w:val="0016486C"/>
    <w:rsid w:val="0019451E"/>
    <w:rsid w:val="001A0850"/>
    <w:rsid w:val="001D2BF1"/>
    <w:rsid w:val="001D4831"/>
    <w:rsid w:val="00210622"/>
    <w:rsid w:val="0021158D"/>
    <w:rsid w:val="002454A9"/>
    <w:rsid w:val="00252B94"/>
    <w:rsid w:val="0026475A"/>
    <w:rsid w:val="00277BAF"/>
    <w:rsid w:val="002913CC"/>
    <w:rsid w:val="002A0D4A"/>
    <w:rsid w:val="002B4451"/>
    <w:rsid w:val="002C4C2F"/>
    <w:rsid w:val="002C7433"/>
    <w:rsid w:val="002D093E"/>
    <w:rsid w:val="002F259E"/>
    <w:rsid w:val="002F35E0"/>
    <w:rsid w:val="00313754"/>
    <w:rsid w:val="003210EF"/>
    <w:rsid w:val="00321DF2"/>
    <w:rsid w:val="00322E9B"/>
    <w:rsid w:val="0032644A"/>
    <w:rsid w:val="00326A02"/>
    <w:rsid w:val="003311EB"/>
    <w:rsid w:val="003455C5"/>
    <w:rsid w:val="0034638B"/>
    <w:rsid w:val="00354DB9"/>
    <w:rsid w:val="003C3809"/>
    <w:rsid w:val="003C545C"/>
    <w:rsid w:val="003D47D8"/>
    <w:rsid w:val="0041191A"/>
    <w:rsid w:val="00424FC7"/>
    <w:rsid w:val="004273C8"/>
    <w:rsid w:val="00463E80"/>
    <w:rsid w:val="00472D4D"/>
    <w:rsid w:val="00474262"/>
    <w:rsid w:val="00482931"/>
    <w:rsid w:val="00495EE7"/>
    <w:rsid w:val="004B26CB"/>
    <w:rsid w:val="004C3134"/>
    <w:rsid w:val="004D614D"/>
    <w:rsid w:val="004E3DEB"/>
    <w:rsid w:val="004F0B24"/>
    <w:rsid w:val="005048BB"/>
    <w:rsid w:val="00505D7D"/>
    <w:rsid w:val="005224D9"/>
    <w:rsid w:val="00531161"/>
    <w:rsid w:val="0053362B"/>
    <w:rsid w:val="00562AB4"/>
    <w:rsid w:val="00573626"/>
    <w:rsid w:val="00576434"/>
    <w:rsid w:val="00593AF9"/>
    <w:rsid w:val="00594256"/>
    <w:rsid w:val="00596E90"/>
    <w:rsid w:val="005A1A86"/>
    <w:rsid w:val="005A422A"/>
    <w:rsid w:val="005A7590"/>
    <w:rsid w:val="005C2FE5"/>
    <w:rsid w:val="005C4897"/>
    <w:rsid w:val="005D0B48"/>
    <w:rsid w:val="005D3010"/>
    <w:rsid w:val="0063173C"/>
    <w:rsid w:val="00640C9C"/>
    <w:rsid w:val="00652D28"/>
    <w:rsid w:val="00660529"/>
    <w:rsid w:val="00667CF3"/>
    <w:rsid w:val="00695021"/>
    <w:rsid w:val="006A27E1"/>
    <w:rsid w:val="006B3DF0"/>
    <w:rsid w:val="006D0AC7"/>
    <w:rsid w:val="006D77EF"/>
    <w:rsid w:val="006F15C1"/>
    <w:rsid w:val="0070743C"/>
    <w:rsid w:val="0071305D"/>
    <w:rsid w:val="007172D2"/>
    <w:rsid w:val="0074192A"/>
    <w:rsid w:val="00754292"/>
    <w:rsid w:val="00776EF6"/>
    <w:rsid w:val="007776C6"/>
    <w:rsid w:val="00796870"/>
    <w:rsid w:val="007A2ABC"/>
    <w:rsid w:val="008130FC"/>
    <w:rsid w:val="008141FC"/>
    <w:rsid w:val="00815425"/>
    <w:rsid w:val="00816D40"/>
    <w:rsid w:val="00854F04"/>
    <w:rsid w:val="00864853"/>
    <w:rsid w:val="00874F30"/>
    <w:rsid w:val="00876DD1"/>
    <w:rsid w:val="00877B36"/>
    <w:rsid w:val="00880729"/>
    <w:rsid w:val="008B2C81"/>
    <w:rsid w:val="008C63B7"/>
    <w:rsid w:val="008D23AC"/>
    <w:rsid w:val="008D4498"/>
    <w:rsid w:val="008F16AF"/>
    <w:rsid w:val="00902CBB"/>
    <w:rsid w:val="00907770"/>
    <w:rsid w:val="0092036B"/>
    <w:rsid w:val="00943C78"/>
    <w:rsid w:val="009544AB"/>
    <w:rsid w:val="00960A51"/>
    <w:rsid w:val="00972DDA"/>
    <w:rsid w:val="00994C1D"/>
    <w:rsid w:val="009A5C80"/>
    <w:rsid w:val="009B7F0A"/>
    <w:rsid w:val="00A1232B"/>
    <w:rsid w:val="00A365DE"/>
    <w:rsid w:val="00A6291B"/>
    <w:rsid w:val="00A6609B"/>
    <w:rsid w:val="00AA1BBE"/>
    <w:rsid w:val="00AA524B"/>
    <w:rsid w:val="00AB5CFE"/>
    <w:rsid w:val="00AC674F"/>
    <w:rsid w:val="00AE6851"/>
    <w:rsid w:val="00AE734F"/>
    <w:rsid w:val="00AF2C95"/>
    <w:rsid w:val="00B12D19"/>
    <w:rsid w:val="00B23DEA"/>
    <w:rsid w:val="00B24D4E"/>
    <w:rsid w:val="00B501C3"/>
    <w:rsid w:val="00B65F6A"/>
    <w:rsid w:val="00B6713D"/>
    <w:rsid w:val="00B92672"/>
    <w:rsid w:val="00B92938"/>
    <w:rsid w:val="00B929AB"/>
    <w:rsid w:val="00BC4802"/>
    <w:rsid w:val="00BD1F06"/>
    <w:rsid w:val="00BF13A8"/>
    <w:rsid w:val="00C253B5"/>
    <w:rsid w:val="00C30884"/>
    <w:rsid w:val="00C32722"/>
    <w:rsid w:val="00C36D0E"/>
    <w:rsid w:val="00C36F09"/>
    <w:rsid w:val="00C52B38"/>
    <w:rsid w:val="00C52F93"/>
    <w:rsid w:val="00C72CA4"/>
    <w:rsid w:val="00C77019"/>
    <w:rsid w:val="00C7768B"/>
    <w:rsid w:val="00C8513F"/>
    <w:rsid w:val="00C87E74"/>
    <w:rsid w:val="00CA4FEA"/>
    <w:rsid w:val="00CC1236"/>
    <w:rsid w:val="00CC5839"/>
    <w:rsid w:val="00CC668E"/>
    <w:rsid w:val="00CE27DA"/>
    <w:rsid w:val="00CE380A"/>
    <w:rsid w:val="00D032DB"/>
    <w:rsid w:val="00D063EF"/>
    <w:rsid w:val="00D2333B"/>
    <w:rsid w:val="00D327E5"/>
    <w:rsid w:val="00D334B1"/>
    <w:rsid w:val="00D42C7E"/>
    <w:rsid w:val="00D4623A"/>
    <w:rsid w:val="00D94E28"/>
    <w:rsid w:val="00DA7630"/>
    <w:rsid w:val="00DC329B"/>
    <w:rsid w:val="00DD2BE7"/>
    <w:rsid w:val="00DD7DCE"/>
    <w:rsid w:val="00DF1BCC"/>
    <w:rsid w:val="00E220E2"/>
    <w:rsid w:val="00E35987"/>
    <w:rsid w:val="00E429B9"/>
    <w:rsid w:val="00E47AD4"/>
    <w:rsid w:val="00E50D38"/>
    <w:rsid w:val="00E57CC0"/>
    <w:rsid w:val="00E60CEB"/>
    <w:rsid w:val="00E910B1"/>
    <w:rsid w:val="00E955D8"/>
    <w:rsid w:val="00EA672B"/>
    <w:rsid w:val="00EB2804"/>
    <w:rsid w:val="00EB454E"/>
    <w:rsid w:val="00ED1041"/>
    <w:rsid w:val="00ED1A86"/>
    <w:rsid w:val="00ED6041"/>
    <w:rsid w:val="00ED7B11"/>
    <w:rsid w:val="00EE5ABB"/>
    <w:rsid w:val="00EF27EF"/>
    <w:rsid w:val="00EF74F7"/>
    <w:rsid w:val="00F03974"/>
    <w:rsid w:val="00F06855"/>
    <w:rsid w:val="00F2052B"/>
    <w:rsid w:val="00F25CA0"/>
    <w:rsid w:val="00F466AD"/>
    <w:rsid w:val="00F66214"/>
    <w:rsid w:val="00F76708"/>
    <w:rsid w:val="00F850CA"/>
    <w:rsid w:val="00F87444"/>
    <w:rsid w:val="00F9036E"/>
    <w:rsid w:val="00FA5AA6"/>
    <w:rsid w:val="00FC5DD3"/>
    <w:rsid w:val="00FD1A24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hyperlink" Target="http://stat.gov.pl/metainformacje/slownik-pojec/pojecia-stosowane-w-statystyce-publicznej/97,pojecie.html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1583-84F0-43ED-974A-28329AA0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Programista</cp:lastModifiedBy>
  <cp:revision>38</cp:revision>
  <dcterms:created xsi:type="dcterms:W3CDTF">2016-11-03T10:10:00Z</dcterms:created>
  <dcterms:modified xsi:type="dcterms:W3CDTF">2017-01-26T13:06:00Z</dcterms:modified>
</cp:coreProperties>
</file>